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禾風商行｜共用背景</w:t>
      </w:r>
    </w:p>
    <w:p>
      <w:r>
        <w:t>教學虛構資料；不代表真實公司或交易。</w:t>
      </w:r>
    </w:p>
    <w:p>
      <w:r>
        <w:t>虛構公司：禾風商行。案號指客戶詢價編號，不代表已成立訂單。</w:t>
      </w:r>
    </w:p>
    <w:p>
      <w:r>
        <w:t>固定格式：案號、品項、數量、客戶希望日期、我方確認交期、待確認事項。</w:t>
      </w:r>
    </w:p>
    <w:p>
      <w:r>
        <w:t>固定規則：繁體中文與台灣用語；沒資料寫待確認；客戶希望日期不等於我方承諾。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